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067" w:type="dxa"/>
        <w:tblLook w:val="04A0" w:firstRow="1" w:lastRow="0" w:firstColumn="1" w:lastColumn="0" w:noHBand="0" w:noVBand="1"/>
      </w:tblPr>
      <w:tblGrid>
        <w:gridCol w:w="851"/>
        <w:gridCol w:w="1412"/>
        <w:gridCol w:w="6237"/>
        <w:gridCol w:w="567"/>
      </w:tblGrid>
      <w:tr w:rsidR="003726C3" w:rsidRPr="00882187" w:rsidTr="00C81BD6">
        <w:trPr>
          <w:trHeight w:val="416"/>
        </w:trPr>
        <w:tc>
          <w:tcPr>
            <w:tcW w:w="9067" w:type="dxa"/>
            <w:gridSpan w:val="4"/>
            <w:tcBorders>
              <w:top w:val="nil"/>
              <w:left w:val="nil"/>
              <w:bottom w:val="single" w:sz="4" w:space="0" w:color="auto"/>
              <w:right w:val="nil"/>
            </w:tcBorders>
            <w:vAlign w:val="center"/>
          </w:tcPr>
          <w:p w:rsidR="003726C3" w:rsidRPr="00882187" w:rsidRDefault="003726C3" w:rsidP="00C81BD6">
            <w:pPr>
              <w:adjustRightInd w:val="0"/>
              <w:snapToGrid w:val="0"/>
              <w:jc w:val="center"/>
            </w:pPr>
            <w:r w:rsidRPr="00C81BD6">
              <w:rPr>
                <w:rFonts w:hint="eastAsia"/>
                <w:sz w:val="24"/>
              </w:rPr>
              <w:t>虚拟教研室</w:t>
            </w:r>
            <w:r w:rsidR="000670D0">
              <w:rPr>
                <w:rFonts w:hint="eastAsia"/>
                <w:sz w:val="24"/>
              </w:rPr>
              <w:t>建设标准</w:t>
            </w:r>
            <w:bookmarkStart w:id="0" w:name="_GoBack"/>
            <w:bookmarkEnd w:id="0"/>
            <w:r w:rsidR="000A73BA">
              <w:rPr>
                <w:rFonts w:hint="eastAsia"/>
                <w:sz w:val="24"/>
              </w:rPr>
              <w:t>认定指标</w:t>
            </w:r>
          </w:p>
        </w:tc>
      </w:tr>
      <w:tr w:rsidR="003726C3" w:rsidRPr="00882187" w:rsidTr="003530D2">
        <w:tc>
          <w:tcPr>
            <w:tcW w:w="851" w:type="dxa"/>
            <w:tcBorders>
              <w:top w:val="single" w:sz="4" w:space="0" w:color="auto"/>
            </w:tcBorders>
            <w:vAlign w:val="center"/>
          </w:tcPr>
          <w:p w:rsidR="00332331" w:rsidRDefault="003726C3" w:rsidP="003530D2">
            <w:pPr>
              <w:jc w:val="center"/>
            </w:pPr>
            <w:r w:rsidRPr="00882187">
              <w:rPr>
                <w:rFonts w:hint="eastAsia"/>
              </w:rPr>
              <w:t>一级</w:t>
            </w:r>
          </w:p>
          <w:p w:rsidR="003726C3" w:rsidRPr="00882187" w:rsidRDefault="003726C3" w:rsidP="003530D2">
            <w:pPr>
              <w:jc w:val="center"/>
            </w:pPr>
            <w:r w:rsidRPr="00882187">
              <w:rPr>
                <w:rFonts w:hint="eastAsia"/>
              </w:rPr>
              <w:t>指标</w:t>
            </w:r>
          </w:p>
        </w:tc>
        <w:tc>
          <w:tcPr>
            <w:tcW w:w="1412" w:type="dxa"/>
            <w:tcBorders>
              <w:top w:val="single" w:sz="4" w:space="0" w:color="auto"/>
            </w:tcBorders>
            <w:vAlign w:val="center"/>
          </w:tcPr>
          <w:p w:rsidR="003726C3" w:rsidRPr="00882187" w:rsidRDefault="003726C3" w:rsidP="003530D2">
            <w:pPr>
              <w:jc w:val="center"/>
            </w:pPr>
            <w:r w:rsidRPr="00882187">
              <w:rPr>
                <w:rFonts w:hint="eastAsia"/>
              </w:rPr>
              <w:t>二级指标</w:t>
            </w:r>
          </w:p>
        </w:tc>
        <w:tc>
          <w:tcPr>
            <w:tcW w:w="6237" w:type="dxa"/>
            <w:tcBorders>
              <w:top w:val="single" w:sz="4" w:space="0" w:color="auto"/>
            </w:tcBorders>
            <w:vAlign w:val="center"/>
          </w:tcPr>
          <w:p w:rsidR="003726C3" w:rsidRPr="00882187" w:rsidRDefault="003726C3" w:rsidP="003530D2">
            <w:pPr>
              <w:jc w:val="center"/>
            </w:pPr>
            <w:r w:rsidRPr="00882187">
              <w:rPr>
                <w:rFonts w:hint="eastAsia"/>
              </w:rPr>
              <w:t>建设标准</w:t>
            </w:r>
          </w:p>
        </w:tc>
        <w:tc>
          <w:tcPr>
            <w:tcW w:w="567" w:type="dxa"/>
            <w:tcBorders>
              <w:top w:val="single" w:sz="4" w:space="0" w:color="auto"/>
            </w:tcBorders>
            <w:vAlign w:val="center"/>
          </w:tcPr>
          <w:p w:rsidR="003726C3" w:rsidRPr="00882187" w:rsidRDefault="003726C3" w:rsidP="003530D2">
            <w:pPr>
              <w:ind w:leftChars="-50" w:left="-105" w:rightChars="-50" w:right="-105"/>
              <w:jc w:val="center"/>
            </w:pPr>
            <w:r>
              <w:rPr>
                <w:rFonts w:hint="eastAsia"/>
              </w:rPr>
              <w:t>得分</w:t>
            </w:r>
          </w:p>
        </w:tc>
      </w:tr>
      <w:tr w:rsidR="003726C3" w:rsidRPr="00882187" w:rsidTr="003530D2">
        <w:tc>
          <w:tcPr>
            <w:tcW w:w="851" w:type="dxa"/>
            <w:vMerge w:val="restart"/>
            <w:vAlign w:val="center"/>
          </w:tcPr>
          <w:p w:rsidR="003726C3" w:rsidRPr="00882187" w:rsidRDefault="00332331" w:rsidP="00827FA3">
            <w:pPr>
              <w:jc w:val="center"/>
            </w:pPr>
            <w:r>
              <w:rPr>
                <w:rFonts w:hint="eastAsia"/>
              </w:rPr>
              <w:t>1</w:t>
            </w:r>
            <w:r>
              <w:t>.</w:t>
            </w:r>
            <w:r w:rsidR="003726C3" w:rsidRPr="00882187">
              <w:rPr>
                <w:rFonts w:hint="eastAsia"/>
              </w:rPr>
              <w:t>指导思想</w:t>
            </w:r>
          </w:p>
        </w:tc>
        <w:tc>
          <w:tcPr>
            <w:tcW w:w="1412" w:type="dxa"/>
            <w:vAlign w:val="center"/>
          </w:tcPr>
          <w:p w:rsidR="003726C3" w:rsidRPr="00882187" w:rsidRDefault="00332331" w:rsidP="00827FA3">
            <w:pPr>
              <w:jc w:val="center"/>
            </w:pPr>
            <w:r>
              <w:rPr>
                <w:rFonts w:hint="eastAsia"/>
              </w:rPr>
              <w:t>1</w:t>
            </w:r>
            <w:r>
              <w:t>.1</w:t>
            </w:r>
            <w:proofErr w:type="gramStart"/>
            <w:r w:rsidR="003726C3" w:rsidRPr="00882187">
              <w:rPr>
                <w:rFonts w:hint="eastAsia"/>
              </w:rPr>
              <w:t>思政引领</w:t>
            </w:r>
            <w:proofErr w:type="gramEnd"/>
          </w:p>
        </w:tc>
        <w:tc>
          <w:tcPr>
            <w:tcW w:w="6237" w:type="dxa"/>
          </w:tcPr>
          <w:p w:rsidR="003726C3" w:rsidRPr="00882187" w:rsidRDefault="00CB1316" w:rsidP="00827FA3">
            <w:r w:rsidRPr="00CB1316">
              <w:rPr>
                <w:rFonts w:hint="eastAsia"/>
              </w:rPr>
              <w:t>以习近平新时代中国特色社会主义思想为指导，深入贯彻全国教育大会精神和《中国教育现代化</w:t>
            </w:r>
            <w:r w:rsidRPr="00CB1316">
              <w:t>2035》，以立德树人为根本任务，以提高人才培养能力为核心，以现代信息技术为依托</w:t>
            </w:r>
            <w:r>
              <w:rPr>
                <w:rFonts w:hint="eastAsia"/>
              </w:rPr>
              <w:t>建设虚拟教研室</w:t>
            </w:r>
          </w:p>
        </w:tc>
        <w:tc>
          <w:tcPr>
            <w:tcW w:w="567" w:type="dxa"/>
            <w:vAlign w:val="center"/>
          </w:tcPr>
          <w:p w:rsidR="003726C3" w:rsidRPr="00882187" w:rsidRDefault="00CB1316" w:rsidP="003530D2">
            <w:pPr>
              <w:jc w:val="center"/>
            </w:pPr>
            <w:r>
              <w:t>2</w:t>
            </w:r>
          </w:p>
        </w:tc>
      </w:tr>
      <w:tr w:rsidR="003726C3" w:rsidRPr="00882187" w:rsidTr="003530D2">
        <w:tc>
          <w:tcPr>
            <w:tcW w:w="851" w:type="dxa"/>
            <w:vMerge/>
            <w:vAlign w:val="center"/>
          </w:tcPr>
          <w:p w:rsidR="003726C3" w:rsidRPr="00882187" w:rsidRDefault="003726C3" w:rsidP="00827FA3">
            <w:pPr>
              <w:jc w:val="center"/>
            </w:pPr>
          </w:p>
        </w:tc>
        <w:tc>
          <w:tcPr>
            <w:tcW w:w="1412" w:type="dxa"/>
            <w:vAlign w:val="center"/>
          </w:tcPr>
          <w:p w:rsidR="003726C3" w:rsidRPr="00882187" w:rsidRDefault="00332331" w:rsidP="00827FA3">
            <w:pPr>
              <w:jc w:val="center"/>
            </w:pPr>
            <w:r>
              <w:rPr>
                <w:rFonts w:hint="eastAsia"/>
              </w:rPr>
              <w:t>1</w:t>
            </w:r>
            <w:r>
              <w:t>.2</w:t>
            </w:r>
            <w:r w:rsidR="003726C3" w:rsidRPr="00882187">
              <w:rPr>
                <w:rFonts w:hint="eastAsia"/>
              </w:rPr>
              <w:t>规章制度</w:t>
            </w:r>
          </w:p>
        </w:tc>
        <w:tc>
          <w:tcPr>
            <w:tcW w:w="6237" w:type="dxa"/>
          </w:tcPr>
          <w:p w:rsidR="003726C3" w:rsidRPr="00882187" w:rsidRDefault="003726C3" w:rsidP="008D5C4F">
            <w:r w:rsidRPr="00882187">
              <w:rPr>
                <w:rFonts w:hint="eastAsia"/>
              </w:rPr>
              <w:t>有详细健全的建设方案，工作计划，工作重点，过程检查与考核方案，经费使用审批制度较严，资料管理制度，例会制度等</w:t>
            </w:r>
          </w:p>
        </w:tc>
        <w:tc>
          <w:tcPr>
            <w:tcW w:w="567" w:type="dxa"/>
            <w:vAlign w:val="center"/>
          </w:tcPr>
          <w:p w:rsidR="003726C3" w:rsidRPr="00882187" w:rsidRDefault="00CB1316" w:rsidP="003530D2">
            <w:pPr>
              <w:jc w:val="center"/>
            </w:pPr>
            <w:r>
              <w:t>2</w:t>
            </w:r>
          </w:p>
        </w:tc>
      </w:tr>
      <w:tr w:rsidR="006E04E8" w:rsidRPr="00882187" w:rsidTr="003530D2">
        <w:tc>
          <w:tcPr>
            <w:tcW w:w="851" w:type="dxa"/>
            <w:vMerge w:val="restart"/>
            <w:vAlign w:val="center"/>
          </w:tcPr>
          <w:p w:rsidR="006E04E8" w:rsidRPr="00882187" w:rsidRDefault="00332331" w:rsidP="00827FA3">
            <w:pPr>
              <w:jc w:val="center"/>
            </w:pPr>
            <w:r>
              <w:rPr>
                <w:rFonts w:hint="eastAsia"/>
              </w:rPr>
              <w:t>2</w:t>
            </w:r>
            <w:r>
              <w:t>.</w:t>
            </w:r>
            <w:r w:rsidR="006E04E8">
              <w:rPr>
                <w:rFonts w:hint="eastAsia"/>
              </w:rPr>
              <w:t>运行保障</w:t>
            </w:r>
          </w:p>
        </w:tc>
        <w:tc>
          <w:tcPr>
            <w:tcW w:w="1412" w:type="dxa"/>
            <w:vAlign w:val="center"/>
          </w:tcPr>
          <w:p w:rsidR="006E04E8" w:rsidRPr="00882187" w:rsidRDefault="00332331" w:rsidP="00827FA3">
            <w:pPr>
              <w:jc w:val="center"/>
            </w:pPr>
            <w:r>
              <w:rPr>
                <w:rFonts w:hint="eastAsia"/>
              </w:rPr>
              <w:t>2</w:t>
            </w:r>
            <w:r>
              <w:t>.1</w:t>
            </w:r>
            <w:r w:rsidR="00AC72C5">
              <w:rPr>
                <w:rFonts w:hint="eastAsia"/>
              </w:rPr>
              <w:t>负责人</w:t>
            </w:r>
          </w:p>
        </w:tc>
        <w:tc>
          <w:tcPr>
            <w:tcW w:w="6237" w:type="dxa"/>
          </w:tcPr>
          <w:p w:rsidR="006E04E8" w:rsidRPr="00882187" w:rsidRDefault="00AC72C5" w:rsidP="008742CE">
            <w:r>
              <w:rPr>
                <w:rFonts w:hint="eastAsia"/>
              </w:rPr>
              <w:t>教研室负责人应由教学名师、一流专业负责人、一流课程负责人等高水平教师担当。负责人</w:t>
            </w:r>
            <w:proofErr w:type="gramStart"/>
            <w:r>
              <w:rPr>
                <w:rFonts w:hint="eastAsia"/>
              </w:rPr>
              <w:t>需主持</w:t>
            </w:r>
            <w:proofErr w:type="gramEnd"/>
            <w:r>
              <w:rPr>
                <w:rFonts w:hint="eastAsia"/>
              </w:rPr>
              <w:t>省级以上教改课题且获得省级及以上教学改革奖励（含高教学会奖）</w:t>
            </w:r>
          </w:p>
        </w:tc>
        <w:tc>
          <w:tcPr>
            <w:tcW w:w="567" w:type="dxa"/>
            <w:vAlign w:val="center"/>
          </w:tcPr>
          <w:p w:rsidR="006E04E8" w:rsidRPr="00882187" w:rsidRDefault="005B416A" w:rsidP="003530D2">
            <w:pPr>
              <w:jc w:val="center"/>
            </w:pPr>
            <w:r>
              <w:t>2</w:t>
            </w:r>
          </w:p>
        </w:tc>
      </w:tr>
      <w:tr w:rsidR="00AC72C5" w:rsidRPr="00882187" w:rsidTr="003530D2">
        <w:tc>
          <w:tcPr>
            <w:tcW w:w="851" w:type="dxa"/>
            <w:vMerge/>
            <w:vAlign w:val="center"/>
          </w:tcPr>
          <w:p w:rsidR="00AC72C5" w:rsidRDefault="00AC72C5" w:rsidP="00827FA3">
            <w:pPr>
              <w:jc w:val="center"/>
            </w:pPr>
          </w:p>
        </w:tc>
        <w:tc>
          <w:tcPr>
            <w:tcW w:w="1412" w:type="dxa"/>
            <w:vAlign w:val="center"/>
          </w:tcPr>
          <w:p w:rsidR="00AC72C5" w:rsidRPr="00882187" w:rsidRDefault="00332331" w:rsidP="00332331">
            <w:pPr>
              <w:jc w:val="center"/>
            </w:pPr>
            <w:r>
              <w:rPr>
                <w:rFonts w:hint="eastAsia"/>
              </w:rPr>
              <w:t>2</w:t>
            </w:r>
            <w:r>
              <w:t>.2</w:t>
            </w:r>
            <w:r w:rsidR="00AC72C5">
              <w:rPr>
                <w:rFonts w:hint="eastAsia"/>
              </w:rPr>
              <w:t>人员结构</w:t>
            </w:r>
          </w:p>
        </w:tc>
        <w:tc>
          <w:tcPr>
            <w:tcW w:w="6237" w:type="dxa"/>
          </w:tcPr>
          <w:p w:rsidR="00AC72C5" w:rsidRPr="00882187" w:rsidRDefault="002E1483" w:rsidP="00FE4FAC">
            <w:r w:rsidRPr="002E1483">
              <w:rPr>
                <w:rFonts w:hint="eastAsia"/>
              </w:rPr>
              <w:t>教研室成员不少于</w:t>
            </w:r>
            <w:r w:rsidRPr="002E1483">
              <w:t>10人，具有相对稳定的高水平教学研究和实践团队。</w:t>
            </w:r>
            <w:r w:rsidR="00FE4FAC">
              <w:rPr>
                <w:rFonts w:hint="eastAsia"/>
              </w:rPr>
              <w:t>5</w:t>
            </w:r>
            <w:r w:rsidR="00FE4FAC">
              <w:t>0</w:t>
            </w:r>
            <w:r w:rsidR="00FE4FAC">
              <w:rPr>
                <w:rFonts w:hint="eastAsia"/>
              </w:rPr>
              <w:t>%以上成员为校外成员得</w:t>
            </w:r>
            <w:r w:rsidR="00B16FBB">
              <w:rPr>
                <w:rFonts w:hint="eastAsia"/>
              </w:rPr>
              <w:t>2分，</w:t>
            </w:r>
            <w:r w:rsidR="00FE4FAC">
              <w:t>30</w:t>
            </w:r>
            <w:r w:rsidR="00FE4FAC">
              <w:rPr>
                <w:rFonts w:hint="eastAsia"/>
              </w:rPr>
              <w:t>%以上成员为校外成员得</w:t>
            </w:r>
            <w:r w:rsidR="00B16FBB">
              <w:rPr>
                <w:rFonts w:hint="eastAsia"/>
              </w:rPr>
              <w:t>1分，校内团队</w:t>
            </w:r>
            <w:r w:rsidR="00FE4FAC">
              <w:t>0</w:t>
            </w:r>
            <w:r w:rsidR="00B16FBB">
              <w:rPr>
                <w:rFonts w:hint="eastAsia"/>
              </w:rPr>
              <w:t>分</w:t>
            </w:r>
          </w:p>
        </w:tc>
        <w:tc>
          <w:tcPr>
            <w:tcW w:w="567" w:type="dxa"/>
            <w:vAlign w:val="center"/>
          </w:tcPr>
          <w:p w:rsidR="00AC72C5" w:rsidRDefault="005B416A" w:rsidP="003530D2">
            <w:pPr>
              <w:jc w:val="center"/>
            </w:pPr>
            <w:r>
              <w:t>2</w:t>
            </w:r>
          </w:p>
        </w:tc>
      </w:tr>
      <w:tr w:rsidR="00AC72C5" w:rsidRPr="00882187" w:rsidTr="003530D2">
        <w:tc>
          <w:tcPr>
            <w:tcW w:w="851" w:type="dxa"/>
            <w:vMerge/>
            <w:vAlign w:val="center"/>
          </w:tcPr>
          <w:p w:rsidR="00AC72C5" w:rsidRPr="00882187" w:rsidRDefault="00AC72C5" w:rsidP="00827FA3">
            <w:pPr>
              <w:jc w:val="center"/>
            </w:pPr>
          </w:p>
        </w:tc>
        <w:tc>
          <w:tcPr>
            <w:tcW w:w="1412" w:type="dxa"/>
            <w:vAlign w:val="center"/>
          </w:tcPr>
          <w:p w:rsidR="00AC72C5" w:rsidRPr="00882187" w:rsidRDefault="00332331" w:rsidP="00827FA3">
            <w:pPr>
              <w:jc w:val="center"/>
            </w:pPr>
            <w:r>
              <w:rPr>
                <w:rFonts w:hint="eastAsia"/>
              </w:rPr>
              <w:t>2</w:t>
            </w:r>
            <w:r>
              <w:t>.3</w:t>
            </w:r>
            <w:r w:rsidR="00AC72C5">
              <w:rPr>
                <w:rFonts w:hint="eastAsia"/>
              </w:rPr>
              <w:t>工作要求</w:t>
            </w:r>
          </w:p>
        </w:tc>
        <w:tc>
          <w:tcPr>
            <w:tcW w:w="6237" w:type="dxa"/>
          </w:tcPr>
          <w:p w:rsidR="00AC72C5" w:rsidRPr="00882187" w:rsidRDefault="00AC72C5" w:rsidP="00776367">
            <w:r w:rsidRPr="00F72861">
              <w:rPr>
                <w:rFonts w:hint="eastAsia"/>
              </w:rPr>
              <w:t>制定有详细工作计划</w:t>
            </w:r>
            <w:r w:rsidR="00B16FBB">
              <w:rPr>
                <w:rFonts w:hint="eastAsia"/>
              </w:rPr>
              <w:t>并按时上交</w:t>
            </w:r>
            <w:r w:rsidRPr="00F72861">
              <w:rPr>
                <w:rFonts w:hint="eastAsia"/>
              </w:rPr>
              <w:t>，目标主题明确，切合实际，可操作性</w:t>
            </w:r>
            <w:r>
              <w:rPr>
                <w:rFonts w:hint="eastAsia"/>
              </w:rPr>
              <w:t>好</w:t>
            </w:r>
            <w:r w:rsidRPr="00F72861">
              <w:rPr>
                <w:rFonts w:hint="eastAsia"/>
              </w:rPr>
              <w:t>，学期结束后及时总结活动开展情况，并</w:t>
            </w:r>
            <w:r>
              <w:rPr>
                <w:rFonts w:hint="eastAsia"/>
              </w:rPr>
              <w:t>整理出典型</w:t>
            </w:r>
            <w:r w:rsidRPr="00F72861">
              <w:rPr>
                <w:rFonts w:hint="eastAsia"/>
              </w:rPr>
              <w:t>活动成果材料</w:t>
            </w:r>
          </w:p>
        </w:tc>
        <w:tc>
          <w:tcPr>
            <w:tcW w:w="567" w:type="dxa"/>
            <w:vAlign w:val="center"/>
          </w:tcPr>
          <w:p w:rsidR="00AC72C5" w:rsidRPr="00B102B7" w:rsidRDefault="005B416A" w:rsidP="003530D2">
            <w:pPr>
              <w:jc w:val="center"/>
            </w:pPr>
            <w:r>
              <w:t>2</w:t>
            </w:r>
          </w:p>
        </w:tc>
      </w:tr>
      <w:tr w:rsidR="00AC72C5" w:rsidRPr="00882187" w:rsidTr="003530D2">
        <w:trPr>
          <w:trHeight w:val="746"/>
        </w:trPr>
        <w:tc>
          <w:tcPr>
            <w:tcW w:w="851" w:type="dxa"/>
            <w:vMerge/>
            <w:vAlign w:val="center"/>
          </w:tcPr>
          <w:p w:rsidR="00AC72C5" w:rsidRPr="00882187" w:rsidRDefault="00AC72C5" w:rsidP="00827FA3">
            <w:pPr>
              <w:jc w:val="center"/>
            </w:pPr>
          </w:p>
        </w:tc>
        <w:tc>
          <w:tcPr>
            <w:tcW w:w="1412" w:type="dxa"/>
            <w:vAlign w:val="center"/>
          </w:tcPr>
          <w:p w:rsidR="00AC72C5" w:rsidRDefault="00332331" w:rsidP="002B0C39">
            <w:pPr>
              <w:jc w:val="center"/>
            </w:pPr>
            <w:r>
              <w:rPr>
                <w:rFonts w:hint="eastAsia"/>
              </w:rPr>
              <w:t>2</w:t>
            </w:r>
            <w:r>
              <w:t>.</w:t>
            </w:r>
            <w:r w:rsidR="002B0C39">
              <w:t>4</w:t>
            </w:r>
            <w:r w:rsidR="006F4F1E">
              <w:rPr>
                <w:rFonts w:hint="eastAsia"/>
              </w:rPr>
              <w:t>教研空间</w:t>
            </w:r>
          </w:p>
        </w:tc>
        <w:tc>
          <w:tcPr>
            <w:tcW w:w="6237" w:type="dxa"/>
            <w:vAlign w:val="center"/>
          </w:tcPr>
          <w:p w:rsidR="00AC72C5" w:rsidRDefault="006F4F1E" w:rsidP="002B0C39">
            <w:r w:rsidRPr="006F4F1E">
              <w:rPr>
                <w:rFonts w:hint="eastAsia"/>
              </w:rPr>
              <w:t>虚拟教研室教研空间</w:t>
            </w:r>
            <w:r w:rsidR="008742CE">
              <w:rPr>
                <w:rFonts w:hint="eastAsia"/>
              </w:rPr>
              <w:t>内容较为充实。</w:t>
            </w:r>
            <w:r w:rsidR="00C81F3D">
              <w:rPr>
                <w:rFonts w:hint="eastAsia"/>
              </w:rPr>
              <w:t>内容丰富</w:t>
            </w:r>
            <w:proofErr w:type="gramStart"/>
            <w:r w:rsidR="00C81F3D">
              <w:rPr>
                <w:rFonts w:hint="eastAsia"/>
              </w:rPr>
              <w:t>且</w:t>
            </w:r>
            <w:r w:rsidR="008742CE">
              <w:rPr>
                <w:rFonts w:hint="eastAsia"/>
              </w:rPr>
              <w:t>活跃</w:t>
            </w:r>
            <w:proofErr w:type="gramEnd"/>
            <w:r w:rsidR="008742CE">
              <w:rPr>
                <w:rFonts w:hint="eastAsia"/>
              </w:rPr>
              <w:t>度较高</w:t>
            </w:r>
            <w:r w:rsidR="00642521">
              <w:rPr>
                <w:rFonts w:hint="eastAsia"/>
              </w:rPr>
              <w:t>得6分，内容不丰富</w:t>
            </w:r>
            <w:proofErr w:type="gramStart"/>
            <w:r w:rsidR="00642521">
              <w:rPr>
                <w:rFonts w:hint="eastAsia"/>
              </w:rPr>
              <w:t>且活跃</w:t>
            </w:r>
            <w:proofErr w:type="gramEnd"/>
            <w:r w:rsidR="00642521">
              <w:rPr>
                <w:rFonts w:hint="eastAsia"/>
              </w:rPr>
              <w:t>度一般得3分，无实质性内容和活动得0分</w:t>
            </w:r>
          </w:p>
        </w:tc>
        <w:tc>
          <w:tcPr>
            <w:tcW w:w="567" w:type="dxa"/>
            <w:vAlign w:val="center"/>
          </w:tcPr>
          <w:p w:rsidR="00AC72C5" w:rsidRDefault="00642521" w:rsidP="003530D2">
            <w:pPr>
              <w:jc w:val="center"/>
            </w:pPr>
            <w:r>
              <w:t>6</w:t>
            </w:r>
          </w:p>
        </w:tc>
      </w:tr>
      <w:tr w:rsidR="00CB118C" w:rsidRPr="00882187" w:rsidTr="003530D2">
        <w:tc>
          <w:tcPr>
            <w:tcW w:w="851" w:type="dxa"/>
            <w:vMerge w:val="restart"/>
            <w:vAlign w:val="center"/>
          </w:tcPr>
          <w:p w:rsidR="00CB118C" w:rsidRPr="00882187" w:rsidRDefault="00332331" w:rsidP="00827FA3">
            <w:pPr>
              <w:jc w:val="center"/>
            </w:pPr>
            <w:r>
              <w:rPr>
                <w:rFonts w:hint="eastAsia"/>
              </w:rPr>
              <w:t>3</w:t>
            </w:r>
            <w:r>
              <w:t>.</w:t>
            </w:r>
            <w:r w:rsidR="00CB118C">
              <w:rPr>
                <w:rFonts w:hint="eastAsia"/>
              </w:rPr>
              <w:t>资源建设</w:t>
            </w:r>
          </w:p>
        </w:tc>
        <w:tc>
          <w:tcPr>
            <w:tcW w:w="1412" w:type="dxa"/>
            <w:vAlign w:val="center"/>
          </w:tcPr>
          <w:p w:rsidR="00CB118C" w:rsidRPr="00AC72C5" w:rsidRDefault="00332331" w:rsidP="00827FA3">
            <w:pPr>
              <w:jc w:val="center"/>
            </w:pPr>
            <w:r>
              <w:rPr>
                <w:rFonts w:hint="eastAsia"/>
              </w:rPr>
              <w:t>3</w:t>
            </w:r>
            <w:r>
              <w:t>.1</w:t>
            </w:r>
            <w:r w:rsidR="00CB118C">
              <w:rPr>
                <w:rFonts w:hint="eastAsia"/>
              </w:rPr>
              <w:t>专业建设</w:t>
            </w:r>
          </w:p>
        </w:tc>
        <w:tc>
          <w:tcPr>
            <w:tcW w:w="6237" w:type="dxa"/>
          </w:tcPr>
          <w:p w:rsidR="00CB118C" w:rsidRPr="00882187" w:rsidRDefault="00CB118C" w:rsidP="00FE482D">
            <w:r w:rsidRPr="006046C1">
              <w:rPr>
                <w:rFonts w:hint="eastAsia"/>
              </w:rPr>
              <w:t>参与制定或修订</w:t>
            </w:r>
            <w:r w:rsidR="008E5DFF">
              <w:rPr>
                <w:rFonts w:hint="eastAsia"/>
              </w:rPr>
              <w:t>人才培养方案、</w:t>
            </w:r>
            <w:r w:rsidRPr="006046C1">
              <w:rPr>
                <w:rFonts w:hint="eastAsia"/>
              </w:rPr>
              <w:t>专业建设规划</w:t>
            </w:r>
            <w:r w:rsidR="008E5DFF">
              <w:rPr>
                <w:rFonts w:hint="eastAsia"/>
              </w:rPr>
              <w:t>、</w:t>
            </w:r>
            <w:r w:rsidRPr="006046C1">
              <w:rPr>
                <w:rFonts w:hint="eastAsia"/>
              </w:rPr>
              <w:t>专业评估</w:t>
            </w:r>
            <w:r w:rsidR="008E5DFF">
              <w:rPr>
                <w:rFonts w:hint="eastAsia"/>
              </w:rPr>
              <w:t>、</w:t>
            </w:r>
            <w:r w:rsidRPr="006046C1">
              <w:rPr>
                <w:rFonts w:hint="eastAsia"/>
              </w:rPr>
              <w:t>专业认证等工作，落实一流专业等建设服务</w:t>
            </w:r>
            <w:r w:rsidR="008E5DFF">
              <w:rPr>
                <w:rFonts w:hint="eastAsia"/>
              </w:rPr>
              <w:t>，省一流专业</w:t>
            </w:r>
            <w:r w:rsidR="00FE482D">
              <w:t>5</w:t>
            </w:r>
            <w:r w:rsidR="008E5DFF">
              <w:rPr>
                <w:rFonts w:hint="eastAsia"/>
              </w:rPr>
              <w:t>分/项，专业认证通过</w:t>
            </w:r>
            <w:r w:rsidR="00FE482D">
              <w:t>5</w:t>
            </w:r>
            <w:r w:rsidR="008E5DFF">
              <w:rPr>
                <w:rFonts w:hint="eastAsia"/>
              </w:rPr>
              <w:t>分/项，</w:t>
            </w:r>
            <w:r w:rsidR="00FE482D">
              <w:rPr>
                <w:rFonts w:hint="eastAsia"/>
              </w:rPr>
              <w:t>当年</w:t>
            </w:r>
            <w:r w:rsidR="008E5DFF" w:rsidRPr="006046C1">
              <w:rPr>
                <w:rFonts w:hint="eastAsia"/>
              </w:rPr>
              <w:t>专业评估</w:t>
            </w:r>
            <w:r w:rsidR="008E5DFF">
              <w:rPr>
                <w:rFonts w:hint="eastAsia"/>
              </w:rPr>
              <w:t>A等</w:t>
            </w:r>
            <w:r w:rsidR="00FE482D">
              <w:t>5</w:t>
            </w:r>
            <w:r w:rsidR="008E5DFF">
              <w:rPr>
                <w:rFonts w:hint="eastAsia"/>
              </w:rPr>
              <w:t>分/项</w:t>
            </w:r>
          </w:p>
        </w:tc>
        <w:tc>
          <w:tcPr>
            <w:tcW w:w="567" w:type="dxa"/>
            <w:vMerge w:val="restart"/>
            <w:vAlign w:val="center"/>
          </w:tcPr>
          <w:p w:rsidR="00CB118C" w:rsidRPr="00882187" w:rsidRDefault="006B5C00" w:rsidP="003530D2">
            <w:pPr>
              <w:jc w:val="center"/>
            </w:pPr>
            <w:r>
              <w:rPr>
                <w:rFonts w:hint="eastAsia"/>
              </w:rPr>
              <w:t>二选一</w:t>
            </w:r>
            <w:proofErr w:type="gramStart"/>
            <w:r w:rsidR="00FE482D">
              <w:t>10</w:t>
            </w:r>
            <w:proofErr w:type="gramEnd"/>
          </w:p>
        </w:tc>
      </w:tr>
      <w:tr w:rsidR="00CB118C" w:rsidRPr="00882187" w:rsidTr="003530D2">
        <w:tc>
          <w:tcPr>
            <w:tcW w:w="851" w:type="dxa"/>
            <w:vMerge/>
            <w:vAlign w:val="center"/>
          </w:tcPr>
          <w:p w:rsidR="00CB118C" w:rsidRPr="00882187" w:rsidRDefault="00CB118C" w:rsidP="00827FA3">
            <w:pPr>
              <w:jc w:val="center"/>
            </w:pPr>
          </w:p>
        </w:tc>
        <w:tc>
          <w:tcPr>
            <w:tcW w:w="1412" w:type="dxa"/>
            <w:vAlign w:val="center"/>
          </w:tcPr>
          <w:p w:rsidR="00CB118C" w:rsidRPr="00882187" w:rsidRDefault="00332331" w:rsidP="00827FA3">
            <w:pPr>
              <w:jc w:val="center"/>
            </w:pPr>
            <w:r>
              <w:rPr>
                <w:rFonts w:hint="eastAsia"/>
              </w:rPr>
              <w:t>3</w:t>
            </w:r>
            <w:r>
              <w:t>.2</w:t>
            </w:r>
            <w:r w:rsidR="00CB118C">
              <w:rPr>
                <w:rFonts w:hint="eastAsia"/>
              </w:rPr>
              <w:t>课程建设</w:t>
            </w:r>
          </w:p>
        </w:tc>
        <w:tc>
          <w:tcPr>
            <w:tcW w:w="6237" w:type="dxa"/>
          </w:tcPr>
          <w:p w:rsidR="00CB118C" w:rsidRPr="00882187" w:rsidRDefault="00CB118C" w:rsidP="00D8698B">
            <w:pPr>
              <w:tabs>
                <w:tab w:val="left" w:pos="979"/>
              </w:tabs>
            </w:pPr>
            <w:r w:rsidRPr="006046C1">
              <w:rPr>
                <w:rFonts w:hint="eastAsia"/>
              </w:rPr>
              <w:t>制定明确的课程建设规划，开发建设</w:t>
            </w:r>
            <w:proofErr w:type="gramStart"/>
            <w:r w:rsidRPr="006046C1">
              <w:rPr>
                <w:rFonts w:hint="eastAsia"/>
              </w:rPr>
              <w:t>系列慕课课程</w:t>
            </w:r>
            <w:proofErr w:type="gramEnd"/>
            <w:r w:rsidRPr="006046C1">
              <w:rPr>
                <w:rFonts w:hint="eastAsia"/>
              </w:rPr>
              <w:t>教学资源教学案例参考资料等教学资源</w:t>
            </w:r>
            <w:r w:rsidR="00D8698B">
              <w:rPr>
                <w:rFonts w:hint="eastAsia"/>
              </w:rPr>
              <w:t>。</w:t>
            </w:r>
            <w:r w:rsidRPr="006046C1">
              <w:rPr>
                <w:rFonts w:hint="eastAsia"/>
              </w:rPr>
              <w:t>省级</w:t>
            </w:r>
            <w:r w:rsidR="00D8698B">
              <w:rPr>
                <w:rFonts w:hint="eastAsia"/>
              </w:rPr>
              <w:t>一流</w:t>
            </w:r>
            <w:r w:rsidRPr="006046C1">
              <w:rPr>
                <w:rFonts w:hint="eastAsia"/>
              </w:rPr>
              <w:t>课程</w:t>
            </w:r>
            <w:r w:rsidR="008E5DFF">
              <w:rPr>
                <w:rFonts w:hint="eastAsia"/>
              </w:rPr>
              <w:t>2分/门</w:t>
            </w:r>
            <w:r w:rsidR="00D8698B">
              <w:rPr>
                <w:rFonts w:hint="eastAsia"/>
              </w:rPr>
              <w:t>，入选国家智慧教学资源M</w:t>
            </w:r>
            <w:r w:rsidR="00D8698B">
              <w:t>OOC</w:t>
            </w:r>
            <w:r w:rsidR="00D8698B">
              <w:rPr>
                <w:rFonts w:hint="eastAsia"/>
              </w:rPr>
              <w:t>课程2分/门</w:t>
            </w:r>
            <w:r w:rsidR="00791552">
              <w:rPr>
                <w:rFonts w:hint="eastAsia"/>
              </w:rPr>
              <w:t>，校级示范课0</w:t>
            </w:r>
            <w:r w:rsidR="00791552">
              <w:t>.5</w:t>
            </w:r>
            <w:r w:rsidR="00791552">
              <w:rPr>
                <w:rFonts w:hint="eastAsia"/>
              </w:rPr>
              <w:t>分/门</w:t>
            </w:r>
          </w:p>
        </w:tc>
        <w:tc>
          <w:tcPr>
            <w:tcW w:w="567" w:type="dxa"/>
            <w:vMerge/>
            <w:vAlign w:val="center"/>
          </w:tcPr>
          <w:p w:rsidR="00CB118C" w:rsidRPr="00882187" w:rsidRDefault="00CB118C" w:rsidP="003530D2">
            <w:pPr>
              <w:jc w:val="center"/>
            </w:pPr>
          </w:p>
        </w:tc>
      </w:tr>
      <w:tr w:rsidR="005E20C4" w:rsidRPr="00882187" w:rsidTr="003530D2">
        <w:trPr>
          <w:trHeight w:val="799"/>
        </w:trPr>
        <w:tc>
          <w:tcPr>
            <w:tcW w:w="851" w:type="dxa"/>
            <w:vMerge/>
            <w:vAlign w:val="center"/>
          </w:tcPr>
          <w:p w:rsidR="005E20C4" w:rsidRPr="00882187" w:rsidRDefault="005E20C4" w:rsidP="00827FA3">
            <w:pPr>
              <w:jc w:val="center"/>
            </w:pPr>
          </w:p>
        </w:tc>
        <w:tc>
          <w:tcPr>
            <w:tcW w:w="1412" w:type="dxa"/>
            <w:vAlign w:val="center"/>
          </w:tcPr>
          <w:p w:rsidR="005E20C4" w:rsidRPr="00882187" w:rsidRDefault="00332331" w:rsidP="00827FA3">
            <w:pPr>
              <w:jc w:val="center"/>
            </w:pPr>
            <w:r>
              <w:rPr>
                <w:rFonts w:hint="eastAsia"/>
              </w:rPr>
              <w:t>3</w:t>
            </w:r>
            <w:r>
              <w:t>.3</w:t>
            </w:r>
            <w:r w:rsidR="005E20C4">
              <w:rPr>
                <w:rFonts w:hint="eastAsia"/>
              </w:rPr>
              <w:t>教材建设</w:t>
            </w:r>
          </w:p>
        </w:tc>
        <w:tc>
          <w:tcPr>
            <w:tcW w:w="6237" w:type="dxa"/>
            <w:vAlign w:val="center"/>
          </w:tcPr>
          <w:p w:rsidR="005E20C4" w:rsidRPr="00882187" w:rsidRDefault="004420FA" w:rsidP="00A85411">
            <w:r>
              <w:rPr>
                <w:rFonts w:hint="eastAsia"/>
              </w:rPr>
              <w:t>优选</w:t>
            </w:r>
            <w:r w:rsidR="006046C1" w:rsidRPr="006046C1">
              <w:rPr>
                <w:rFonts w:hint="eastAsia"/>
              </w:rPr>
              <w:t>国家</w:t>
            </w:r>
            <w:r>
              <w:rPr>
                <w:rFonts w:hint="eastAsia"/>
              </w:rPr>
              <w:t>规划</w:t>
            </w:r>
            <w:r w:rsidR="006046C1" w:rsidRPr="006046C1">
              <w:rPr>
                <w:rFonts w:hint="eastAsia"/>
              </w:rPr>
              <w:t>教材</w:t>
            </w:r>
            <w:r>
              <w:rPr>
                <w:rFonts w:hint="eastAsia"/>
              </w:rPr>
              <w:t>、</w:t>
            </w:r>
            <w:r w:rsidR="006046C1" w:rsidRPr="006046C1">
              <w:rPr>
                <w:rFonts w:hint="eastAsia"/>
              </w:rPr>
              <w:t>新教材</w:t>
            </w:r>
            <w:r>
              <w:rPr>
                <w:rFonts w:hint="eastAsia"/>
              </w:rPr>
              <w:t>，</w:t>
            </w:r>
            <w:r w:rsidR="006046C1" w:rsidRPr="006046C1">
              <w:rPr>
                <w:rFonts w:hint="eastAsia"/>
              </w:rPr>
              <w:t>根据建设的需要制定新形态教材建设规划，组织编写高质量教材</w:t>
            </w:r>
            <w:r w:rsidR="005A42C1">
              <w:rPr>
                <w:rFonts w:hint="eastAsia"/>
              </w:rPr>
              <w:t>和</w:t>
            </w:r>
            <w:r w:rsidR="006046C1" w:rsidRPr="006046C1">
              <w:rPr>
                <w:rFonts w:hint="eastAsia"/>
              </w:rPr>
              <w:t>教辅材料</w:t>
            </w:r>
            <w:r w:rsidR="005A42C1">
              <w:rPr>
                <w:rFonts w:hint="eastAsia"/>
              </w:rPr>
              <w:t>。</w:t>
            </w:r>
            <w:r w:rsidR="00D55F42">
              <w:rPr>
                <w:rFonts w:hint="eastAsia"/>
              </w:rPr>
              <w:t>出版教材2分/本</w:t>
            </w:r>
          </w:p>
        </w:tc>
        <w:tc>
          <w:tcPr>
            <w:tcW w:w="567" w:type="dxa"/>
            <w:vAlign w:val="center"/>
          </w:tcPr>
          <w:p w:rsidR="005E20C4" w:rsidRPr="00882187" w:rsidRDefault="00642521" w:rsidP="003530D2">
            <w:pPr>
              <w:jc w:val="center"/>
            </w:pPr>
            <w:r>
              <w:t>2</w:t>
            </w:r>
          </w:p>
        </w:tc>
      </w:tr>
      <w:tr w:rsidR="005E20C4" w:rsidRPr="00882187" w:rsidTr="003530D2">
        <w:trPr>
          <w:trHeight w:val="1122"/>
        </w:trPr>
        <w:tc>
          <w:tcPr>
            <w:tcW w:w="851" w:type="dxa"/>
            <w:vMerge/>
            <w:vAlign w:val="center"/>
          </w:tcPr>
          <w:p w:rsidR="005E20C4" w:rsidRPr="00882187" w:rsidRDefault="005E20C4" w:rsidP="00827FA3">
            <w:pPr>
              <w:jc w:val="center"/>
            </w:pPr>
          </w:p>
        </w:tc>
        <w:tc>
          <w:tcPr>
            <w:tcW w:w="1412" w:type="dxa"/>
            <w:vAlign w:val="center"/>
          </w:tcPr>
          <w:p w:rsidR="005E20C4" w:rsidRDefault="00332331" w:rsidP="00827FA3">
            <w:pPr>
              <w:jc w:val="center"/>
            </w:pPr>
            <w:r>
              <w:rPr>
                <w:rFonts w:hint="eastAsia"/>
              </w:rPr>
              <w:t>3</w:t>
            </w:r>
            <w:r>
              <w:t>.4</w:t>
            </w:r>
            <w:r w:rsidR="005E20C4">
              <w:rPr>
                <w:rFonts w:hint="eastAsia"/>
              </w:rPr>
              <w:t>师资队伍</w:t>
            </w:r>
          </w:p>
        </w:tc>
        <w:tc>
          <w:tcPr>
            <w:tcW w:w="6237" w:type="dxa"/>
            <w:vAlign w:val="center"/>
          </w:tcPr>
          <w:p w:rsidR="005E20C4" w:rsidRPr="00882187" w:rsidRDefault="006046C1" w:rsidP="00A85411">
            <w:r w:rsidRPr="006046C1">
              <w:rPr>
                <w:rFonts w:hint="eastAsia"/>
              </w:rPr>
              <w:t>制定师资队伍培养方案和计划，积极参加</w:t>
            </w:r>
            <w:r w:rsidR="008E5DFF">
              <w:rPr>
                <w:rFonts w:hint="eastAsia"/>
              </w:rPr>
              <w:t>各类教师</w:t>
            </w:r>
            <w:r w:rsidRPr="006046C1">
              <w:rPr>
                <w:rFonts w:hint="eastAsia"/>
              </w:rPr>
              <w:t>教学</w:t>
            </w:r>
            <w:r w:rsidR="008E5DFF">
              <w:rPr>
                <w:rFonts w:hint="eastAsia"/>
              </w:rPr>
              <w:t>竞赛</w:t>
            </w:r>
            <w:r w:rsidR="002E6C63">
              <w:rPr>
                <w:rFonts w:hint="eastAsia"/>
              </w:rPr>
              <w:t>，</w:t>
            </w:r>
            <w:r w:rsidR="008E5DFF">
              <w:rPr>
                <w:rFonts w:hint="eastAsia"/>
              </w:rPr>
              <w:t>省级</w:t>
            </w:r>
            <w:r w:rsidR="00AF4089">
              <w:rPr>
                <w:rFonts w:hint="eastAsia"/>
              </w:rPr>
              <w:t>二等奖</w:t>
            </w:r>
            <w:r w:rsidR="008E5DFF">
              <w:rPr>
                <w:rFonts w:hint="eastAsia"/>
              </w:rPr>
              <w:t>2分，</w:t>
            </w:r>
            <w:r w:rsidR="00AF4089">
              <w:rPr>
                <w:rFonts w:hint="eastAsia"/>
              </w:rPr>
              <w:t>一等奖3分，</w:t>
            </w:r>
            <w:r w:rsidRPr="006046C1">
              <w:rPr>
                <w:rFonts w:hint="eastAsia"/>
              </w:rPr>
              <w:t>积极开展教师培训，有条件的瞬间是要积极鼓励教师参加国内外教学研讨会议并作专题分享</w:t>
            </w:r>
            <w:r w:rsidR="008E5DFF">
              <w:rPr>
                <w:rFonts w:hint="eastAsia"/>
              </w:rPr>
              <w:t>，</w:t>
            </w:r>
            <w:r w:rsidR="00ED079D">
              <w:t>1</w:t>
            </w:r>
            <w:r w:rsidR="008E5DFF">
              <w:rPr>
                <w:rFonts w:hint="eastAsia"/>
              </w:rPr>
              <w:t>分/次</w:t>
            </w:r>
          </w:p>
        </w:tc>
        <w:tc>
          <w:tcPr>
            <w:tcW w:w="567" w:type="dxa"/>
            <w:vAlign w:val="center"/>
          </w:tcPr>
          <w:p w:rsidR="005E20C4" w:rsidRPr="00882187" w:rsidRDefault="00FE482D" w:rsidP="003530D2">
            <w:pPr>
              <w:jc w:val="center"/>
            </w:pPr>
            <w:r>
              <w:t>10</w:t>
            </w:r>
          </w:p>
        </w:tc>
      </w:tr>
      <w:tr w:rsidR="005E20C4" w:rsidRPr="00882187" w:rsidTr="003530D2">
        <w:trPr>
          <w:trHeight w:val="1279"/>
        </w:trPr>
        <w:tc>
          <w:tcPr>
            <w:tcW w:w="851" w:type="dxa"/>
            <w:vMerge w:val="restart"/>
            <w:vAlign w:val="center"/>
          </w:tcPr>
          <w:p w:rsidR="005E20C4" w:rsidRPr="00882187" w:rsidRDefault="00332331" w:rsidP="00827FA3">
            <w:pPr>
              <w:jc w:val="center"/>
            </w:pPr>
            <w:r>
              <w:rPr>
                <w:rFonts w:hint="eastAsia"/>
              </w:rPr>
              <w:t>4</w:t>
            </w:r>
            <w:r>
              <w:t>.</w:t>
            </w:r>
            <w:r w:rsidR="005E20C4">
              <w:rPr>
                <w:rFonts w:hint="eastAsia"/>
              </w:rPr>
              <w:t>教学研究</w:t>
            </w:r>
          </w:p>
        </w:tc>
        <w:tc>
          <w:tcPr>
            <w:tcW w:w="1412" w:type="dxa"/>
            <w:vAlign w:val="center"/>
          </w:tcPr>
          <w:p w:rsidR="005E20C4" w:rsidRDefault="00332331" w:rsidP="00827FA3">
            <w:pPr>
              <w:jc w:val="center"/>
            </w:pPr>
            <w:r>
              <w:rPr>
                <w:rFonts w:hint="eastAsia"/>
              </w:rPr>
              <w:t>4</w:t>
            </w:r>
            <w:r>
              <w:t>.1</w:t>
            </w:r>
            <w:r w:rsidR="00B16FBB">
              <w:rPr>
                <w:rFonts w:hint="eastAsia"/>
              </w:rPr>
              <w:t>在线</w:t>
            </w:r>
            <w:r w:rsidR="005E20C4">
              <w:rPr>
                <w:rFonts w:hint="eastAsia"/>
              </w:rPr>
              <w:t>研讨</w:t>
            </w:r>
          </w:p>
        </w:tc>
        <w:tc>
          <w:tcPr>
            <w:tcW w:w="6237" w:type="dxa"/>
            <w:vAlign w:val="center"/>
          </w:tcPr>
          <w:p w:rsidR="005E20C4" w:rsidRPr="00882187" w:rsidRDefault="006046C1" w:rsidP="00D05076">
            <w:r w:rsidRPr="006046C1">
              <w:rPr>
                <w:rFonts w:hint="eastAsia"/>
              </w:rPr>
              <w:t>积极开展</w:t>
            </w:r>
            <w:r w:rsidR="003D6C3E">
              <w:rPr>
                <w:rFonts w:hint="eastAsia"/>
              </w:rPr>
              <w:t>在线</w:t>
            </w:r>
            <w:r w:rsidRPr="006046C1">
              <w:rPr>
                <w:rFonts w:hint="eastAsia"/>
              </w:rPr>
              <w:t>集体备课</w:t>
            </w:r>
            <w:r w:rsidR="005375EB">
              <w:rPr>
                <w:rFonts w:hint="eastAsia"/>
              </w:rPr>
              <w:t>、</w:t>
            </w:r>
            <w:r w:rsidR="00FB175C">
              <w:rPr>
                <w:rFonts w:hint="eastAsia"/>
              </w:rPr>
              <w:t>教学研讨、</w:t>
            </w:r>
            <w:r w:rsidRPr="006046C1">
              <w:rPr>
                <w:rFonts w:hint="eastAsia"/>
              </w:rPr>
              <w:t>教学观摩等教研活动</w:t>
            </w:r>
            <w:r w:rsidR="005375EB">
              <w:rPr>
                <w:rFonts w:hint="eastAsia"/>
              </w:rPr>
              <w:t>，</w:t>
            </w:r>
            <w:r w:rsidRPr="006046C1">
              <w:rPr>
                <w:rFonts w:hint="eastAsia"/>
              </w:rPr>
              <w:t>一般每学期至少开展八次</w:t>
            </w:r>
            <w:r w:rsidR="00FB175C">
              <w:rPr>
                <w:rFonts w:hint="eastAsia"/>
              </w:rPr>
              <w:t>以上</w:t>
            </w:r>
            <w:r w:rsidR="00DF260E">
              <w:rPr>
                <w:rFonts w:hint="eastAsia"/>
              </w:rPr>
              <w:t>在线</w:t>
            </w:r>
            <w:r w:rsidRPr="006046C1">
              <w:rPr>
                <w:rFonts w:hint="eastAsia"/>
              </w:rPr>
              <w:t>教学教研活动</w:t>
            </w:r>
            <w:r w:rsidR="00D05076">
              <w:rPr>
                <w:rFonts w:hint="eastAsia"/>
              </w:rPr>
              <w:t>。</w:t>
            </w:r>
            <w:r w:rsidR="00D03F46">
              <w:rPr>
                <w:rFonts w:hint="eastAsia"/>
              </w:rPr>
              <w:t>校内教研活动</w:t>
            </w:r>
            <w:r w:rsidR="00D05076">
              <w:t>1</w:t>
            </w:r>
            <w:r w:rsidR="00E3605A">
              <w:rPr>
                <w:rFonts w:hint="eastAsia"/>
              </w:rPr>
              <w:t>分/次</w:t>
            </w:r>
            <w:r w:rsidR="00D05076">
              <w:rPr>
                <w:rFonts w:hint="eastAsia"/>
              </w:rPr>
              <w:t>，省内教研活动3分/次，全国性教研活动5分/次</w:t>
            </w:r>
            <w:r w:rsidR="003D6C3E">
              <w:rPr>
                <w:rFonts w:hint="eastAsia"/>
              </w:rPr>
              <w:t>；</w:t>
            </w:r>
            <w:r w:rsidR="00D05076">
              <w:rPr>
                <w:rFonts w:hint="eastAsia"/>
              </w:rPr>
              <w:t>开展</w:t>
            </w:r>
            <w:r w:rsidR="003D6C3E">
              <w:rPr>
                <w:rFonts w:hint="eastAsia"/>
              </w:rPr>
              <w:t>试卷、试题库、案例、大纲、教材、课程</w:t>
            </w:r>
            <w:r w:rsidR="00D05076">
              <w:rPr>
                <w:rFonts w:hint="eastAsia"/>
              </w:rPr>
              <w:t>建设</w:t>
            </w:r>
            <w:r w:rsidR="003D6C3E">
              <w:rPr>
                <w:rFonts w:hint="eastAsia"/>
              </w:rPr>
              <w:t>，每类当年1分/次</w:t>
            </w:r>
          </w:p>
        </w:tc>
        <w:tc>
          <w:tcPr>
            <w:tcW w:w="567" w:type="dxa"/>
            <w:vAlign w:val="center"/>
          </w:tcPr>
          <w:p w:rsidR="005E20C4" w:rsidRPr="00882187" w:rsidRDefault="00B16FBB" w:rsidP="003530D2">
            <w:pPr>
              <w:jc w:val="center"/>
            </w:pPr>
            <w:r>
              <w:t>4</w:t>
            </w:r>
            <w:r w:rsidR="002B0C39">
              <w:t>5</w:t>
            </w:r>
          </w:p>
        </w:tc>
      </w:tr>
      <w:tr w:rsidR="007A536F" w:rsidRPr="00882187" w:rsidTr="003530D2">
        <w:trPr>
          <w:trHeight w:val="1682"/>
        </w:trPr>
        <w:tc>
          <w:tcPr>
            <w:tcW w:w="851" w:type="dxa"/>
            <w:vMerge/>
            <w:vAlign w:val="center"/>
          </w:tcPr>
          <w:p w:rsidR="007A536F" w:rsidRPr="00882187" w:rsidRDefault="007A536F" w:rsidP="00827FA3">
            <w:pPr>
              <w:jc w:val="center"/>
            </w:pPr>
          </w:p>
        </w:tc>
        <w:tc>
          <w:tcPr>
            <w:tcW w:w="1412" w:type="dxa"/>
            <w:vAlign w:val="center"/>
          </w:tcPr>
          <w:p w:rsidR="007A536F" w:rsidRDefault="00332331" w:rsidP="00827FA3">
            <w:pPr>
              <w:jc w:val="center"/>
            </w:pPr>
            <w:r>
              <w:rPr>
                <w:rFonts w:hint="eastAsia"/>
              </w:rPr>
              <w:t>4</w:t>
            </w:r>
            <w:r>
              <w:t>.2</w:t>
            </w:r>
            <w:r w:rsidR="007A536F">
              <w:rPr>
                <w:rFonts w:hint="eastAsia"/>
              </w:rPr>
              <w:t>教学研究</w:t>
            </w:r>
          </w:p>
        </w:tc>
        <w:tc>
          <w:tcPr>
            <w:tcW w:w="6237" w:type="dxa"/>
            <w:vAlign w:val="center"/>
          </w:tcPr>
          <w:p w:rsidR="007A536F" w:rsidRPr="00882187" w:rsidRDefault="007A536F" w:rsidP="00A85411">
            <w:r w:rsidRPr="006046C1">
              <w:rPr>
                <w:rFonts w:hint="eastAsia"/>
              </w:rPr>
              <w:t>积极开展教育教学研究，承担各类教育教学改革项目，</w:t>
            </w:r>
            <w:r>
              <w:rPr>
                <w:rFonts w:hint="eastAsia"/>
              </w:rPr>
              <w:t>发表教改论文、指导学生学</w:t>
            </w:r>
            <w:r w:rsidRPr="006046C1">
              <w:rPr>
                <w:rFonts w:hint="eastAsia"/>
              </w:rPr>
              <w:t>科竞赛</w:t>
            </w:r>
            <w:r>
              <w:rPr>
                <w:rFonts w:hint="eastAsia"/>
              </w:rPr>
              <w:t>。项目国家级5分</w:t>
            </w:r>
            <w:r>
              <w:t>/</w:t>
            </w:r>
            <w:r>
              <w:rPr>
                <w:rFonts w:hint="eastAsia"/>
              </w:rPr>
              <w:t>项，省级2分/项；论文一般2分/篇，核心论文5分/篇；国家级一等5分</w:t>
            </w:r>
            <w:r>
              <w:t>/</w:t>
            </w:r>
            <w:r>
              <w:rPr>
                <w:rFonts w:hint="eastAsia"/>
              </w:rPr>
              <w:t>项，二等3分/项，省级一等2分/项，二等</w:t>
            </w:r>
            <w:r>
              <w:t>1</w:t>
            </w:r>
            <w:r>
              <w:rPr>
                <w:rFonts w:hint="eastAsia"/>
              </w:rPr>
              <w:t>分/项；学生项目国家级3分/项，省级1分/项</w:t>
            </w:r>
          </w:p>
        </w:tc>
        <w:tc>
          <w:tcPr>
            <w:tcW w:w="567" w:type="dxa"/>
            <w:vAlign w:val="center"/>
          </w:tcPr>
          <w:p w:rsidR="007A536F" w:rsidRPr="00882187" w:rsidRDefault="005B416A" w:rsidP="003530D2">
            <w:pPr>
              <w:jc w:val="center"/>
            </w:pPr>
            <w:r>
              <w:t>15</w:t>
            </w:r>
          </w:p>
        </w:tc>
      </w:tr>
      <w:tr w:rsidR="005E20C4" w:rsidRPr="00882187" w:rsidTr="003530D2">
        <w:trPr>
          <w:trHeight w:val="841"/>
        </w:trPr>
        <w:tc>
          <w:tcPr>
            <w:tcW w:w="851" w:type="dxa"/>
            <w:vMerge/>
            <w:vAlign w:val="center"/>
          </w:tcPr>
          <w:p w:rsidR="005E20C4" w:rsidRPr="00882187" w:rsidRDefault="005E20C4" w:rsidP="00827FA3">
            <w:pPr>
              <w:jc w:val="center"/>
            </w:pPr>
          </w:p>
        </w:tc>
        <w:tc>
          <w:tcPr>
            <w:tcW w:w="1412" w:type="dxa"/>
            <w:vAlign w:val="center"/>
          </w:tcPr>
          <w:p w:rsidR="005E20C4" w:rsidRDefault="00332331" w:rsidP="00827FA3">
            <w:pPr>
              <w:jc w:val="center"/>
            </w:pPr>
            <w:r>
              <w:rPr>
                <w:rFonts w:hint="eastAsia"/>
              </w:rPr>
              <w:t>4</w:t>
            </w:r>
            <w:r>
              <w:t>.3</w:t>
            </w:r>
            <w:r w:rsidR="005E20C4">
              <w:rPr>
                <w:rFonts w:hint="eastAsia"/>
              </w:rPr>
              <w:t>特色创新</w:t>
            </w:r>
          </w:p>
        </w:tc>
        <w:tc>
          <w:tcPr>
            <w:tcW w:w="6237" w:type="dxa"/>
            <w:vAlign w:val="center"/>
          </w:tcPr>
          <w:p w:rsidR="005E20C4" w:rsidRPr="00882187" w:rsidRDefault="006046C1" w:rsidP="00CD0B7F">
            <w:r>
              <w:rPr>
                <w:rFonts w:hint="eastAsia"/>
              </w:rPr>
              <w:t>虚拟教研室</w:t>
            </w:r>
            <w:r w:rsidRPr="006046C1">
              <w:rPr>
                <w:rFonts w:hint="eastAsia"/>
              </w:rPr>
              <w:t>的建设</w:t>
            </w:r>
            <w:r w:rsidR="00CD0B7F">
              <w:rPr>
                <w:rFonts w:hint="eastAsia"/>
              </w:rPr>
              <w:t>能体现出湖州师范学院的特色，对外</w:t>
            </w:r>
            <w:r w:rsidRPr="006046C1">
              <w:rPr>
                <w:rFonts w:hint="eastAsia"/>
              </w:rPr>
              <w:t>推广</w:t>
            </w:r>
            <w:r w:rsidR="00CD0B7F">
              <w:rPr>
                <w:rFonts w:hint="eastAsia"/>
              </w:rPr>
              <w:t>成效明显，打响湖师院的品牌</w:t>
            </w:r>
          </w:p>
        </w:tc>
        <w:tc>
          <w:tcPr>
            <w:tcW w:w="567" w:type="dxa"/>
            <w:vAlign w:val="center"/>
          </w:tcPr>
          <w:p w:rsidR="005E20C4" w:rsidRPr="00882187" w:rsidRDefault="00A46750" w:rsidP="003530D2">
            <w:pPr>
              <w:jc w:val="center"/>
            </w:pPr>
            <w:r>
              <w:t>2</w:t>
            </w:r>
          </w:p>
        </w:tc>
      </w:tr>
    </w:tbl>
    <w:p w:rsidR="002A27E9" w:rsidRDefault="006F7DBE" w:rsidP="005B61CF">
      <w:r>
        <w:rPr>
          <w:rFonts w:hint="eastAsia"/>
        </w:rPr>
        <w:t>备注：以上成果仅统计团队成员，有交叉成员成果仅统计1次不重复统计。</w:t>
      </w:r>
    </w:p>
    <w:sectPr w:rsidR="002A27E9" w:rsidSect="005B61CF">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EA" w:rsidRDefault="00F705EA" w:rsidP="008C436A">
      <w:r>
        <w:separator/>
      </w:r>
    </w:p>
  </w:endnote>
  <w:endnote w:type="continuationSeparator" w:id="0">
    <w:p w:rsidR="00F705EA" w:rsidRDefault="00F705EA" w:rsidP="008C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EA" w:rsidRDefault="00F705EA" w:rsidP="008C436A">
      <w:r>
        <w:separator/>
      </w:r>
    </w:p>
  </w:footnote>
  <w:footnote w:type="continuationSeparator" w:id="0">
    <w:p w:rsidR="00F705EA" w:rsidRDefault="00F705EA" w:rsidP="008C4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8E"/>
    <w:rsid w:val="0003026D"/>
    <w:rsid w:val="000670D0"/>
    <w:rsid w:val="00093B8E"/>
    <w:rsid w:val="000A73BA"/>
    <w:rsid w:val="001312CA"/>
    <w:rsid w:val="0013238A"/>
    <w:rsid w:val="001611D6"/>
    <w:rsid w:val="0016763B"/>
    <w:rsid w:val="001906E5"/>
    <w:rsid w:val="00222352"/>
    <w:rsid w:val="0022558A"/>
    <w:rsid w:val="002401AD"/>
    <w:rsid w:val="00287D19"/>
    <w:rsid w:val="00294D53"/>
    <w:rsid w:val="002B0C39"/>
    <w:rsid w:val="002E1483"/>
    <w:rsid w:val="002E6C63"/>
    <w:rsid w:val="00332331"/>
    <w:rsid w:val="003530D2"/>
    <w:rsid w:val="003726C3"/>
    <w:rsid w:val="003C214E"/>
    <w:rsid w:val="003D6C3E"/>
    <w:rsid w:val="003F0582"/>
    <w:rsid w:val="004408E8"/>
    <w:rsid w:val="004420FA"/>
    <w:rsid w:val="005375EB"/>
    <w:rsid w:val="005377CD"/>
    <w:rsid w:val="005A42C1"/>
    <w:rsid w:val="005B416A"/>
    <w:rsid w:val="005B61CF"/>
    <w:rsid w:val="005E20C4"/>
    <w:rsid w:val="006046C1"/>
    <w:rsid w:val="00642521"/>
    <w:rsid w:val="006760B2"/>
    <w:rsid w:val="006B5C00"/>
    <w:rsid w:val="006E04E8"/>
    <w:rsid w:val="006E778D"/>
    <w:rsid w:val="006F4F1E"/>
    <w:rsid w:val="006F7DBE"/>
    <w:rsid w:val="007065AB"/>
    <w:rsid w:val="00712D2C"/>
    <w:rsid w:val="00746E7A"/>
    <w:rsid w:val="00776367"/>
    <w:rsid w:val="00791552"/>
    <w:rsid w:val="007A536F"/>
    <w:rsid w:val="007D3E36"/>
    <w:rsid w:val="00827FA3"/>
    <w:rsid w:val="00856631"/>
    <w:rsid w:val="008742CE"/>
    <w:rsid w:val="00882187"/>
    <w:rsid w:val="00885423"/>
    <w:rsid w:val="008C436A"/>
    <w:rsid w:val="008D5C4F"/>
    <w:rsid w:val="008E5DFF"/>
    <w:rsid w:val="008F5929"/>
    <w:rsid w:val="0092382A"/>
    <w:rsid w:val="009D6DD7"/>
    <w:rsid w:val="009F7212"/>
    <w:rsid w:val="00A163FC"/>
    <w:rsid w:val="00A46750"/>
    <w:rsid w:val="00A85411"/>
    <w:rsid w:val="00AC72C5"/>
    <w:rsid w:val="00AF4089"/>
    <w:rsid w:val="00B03D30"/>
    <w:rsid w:val="00B102B7"/>
    <w:rsid w:val="00B16FBB"/>
    <w:rsid w:val="00B74A0F"/>
    <w:rsid w:val="00B87426"/>
    <w:rsid w:val="00B95B1C"/>
    <w:rsid w:val="00BC0723"/>
    <w:rsid w:val="00C81BD6"/>
    <w:rsid w:val="00C81F3D"/>
    <w:rsid w:val="00CB118C"/>
    <w:rsid w:val="00CB1316"/>
    <w:rsid w:val="00CD0B7F"/>
    <w:rsid w:val="00CE0111"/>
    <w:rsid w:val="00D03F46"/>
    <w:rsid w:val="00D05076"/>
    <w:rsid w:val="00D304C9"/>
    <w:rsid w:val="00D52AFC"/>
    <w:rsid w:val="00D55F42"/>
    <w:rsid w:val="00D67644"/>
    <w:rsid w:val="00D8698B"/>
    <w:rsid w:val="00DA3669"/>
    <w:rsid w:val="00DF260E"/>
    <w:rsid w:val="00E3605A"/>
    <w:rsid w:val="00E45434"/>
    <w:rsid w:val="00E54C2C"/>
    <w:rsid w:val="00ED079D"/>
    <w:rsid w:val="00F01ECE"/>
    <w:rsid w:val="00F217D0"/>
    <w:rsid w:val="00F705EA"/>
    <w:rsid w:val="00F72861"/>
    <w:rsid w:val="00FB175C"/>
    <w:rsid w:val="00FB67C1"/>
    <w:rsid w:val="00FE482D"/>
    <w:rsid w:val="00FE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436A"/>
    <w:rPr>
      <w:sz w:val="18"/>
      <w:szCs w:val="18"/>
    </w:rPr>
  </w:style>
  <w:style w:type="paragraph" w:styleId="a4">
    <w:name w:val="footer"/>
    <w:basedOn w:val="a"/>
    <w:link w:val="Char0"/>
    <w:uiPriority w:val="99"/>
    <w:unhideWhenUsed/>
    <w:rsid w:val="008C436A"/>
    <w:pPr>
      <w:tabs>
        <w:tab w:val="center" w:pos="4153"/>
        <w:tab w:val="right" w:pos="8306"/>
      </w:tabs>
      <w:snapToGrid w:val="0"/>
      <w:jc w:val="left"/>
    </w:pPr>
    <w:rPr>
      <w:sz w:val="18"/>
      <w:szCs w:val="18"/>
    </w:rPr>
  </w:style>
  <w:style w:type="character" w:customStyle="1" w:styleId="Char0">
    <w:name w:val="页脚 Char"/>
    <w:basedOn w:val="a0"/>
    <w:link w:val="a4"/>
    <w:uiPriority w:val="99"/>
    <w:rsid w:val="008C436A"/>
    <w:rPr>
      <w:sz w:val="18"/>
      <w:szCs w:val="18"/>
    </w:rPr>
  </w:style>
  <w:style w:type="table" w:styleId="a5">
    <w:name w:val="Table Grid"/>
    <w:basedOn w:val="a1"/>
    <w:uiPriority w:val="39"/>
    <w:rsid w:val="008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436A"/>
    <w:rPr>
      <w:sz w:val="18"/>
      <w:szCs w:val="18"/>
    </w:rPr>
  </w:style>
  <w:style w:type="paragraph" w:styleId="a4">
    <w:name w:val="footer"/>
    <w:basedOn w:val="a"/>
    <w:link w:val="Char0"/>
    <w:uiPriority w:val="99"/>
    <w:unhideWhenUsed/>
    <w:rsid w:val="008C436A"/>
    <w:pPr>
      <w:tabs>
        <w:tab w:val="center" w:pos="4153"/>
        <w:tab w:val="right" w:pos="8306"/>
      </w:tabs>
      <w:snapToGrid w:val="0"/>
      <w:jc w:val="left"/>
    </w:pPr>
    <w:rPr>
      <w:sz w:val="18"/>
      <w:szCs w:val="18"/>
    </w:rPr>
  </w:style>
  <w:style w:type="character" w:customStyle="1" w:styleId="Char0">
    <w:name w:val="页脚 Char"/>
    <w:basedOn w:val="a0"/>
    <w:link w:val="a4"/>
    <w:uiPriority w:val="99"/>
    <w:rsid w:val="008C436A"/>
    <w:rPr>
      <w:sz w:val="18"/>
      <w:szCs w:val="18"/>
    </w:rPr>
  </w:style>
  <w:style w:type="table" w:styleId="a5">
    <w:name w:val="Table Grid"/>
    <w:basedOn w:val="a1"/>
    <w:uiPriority w:val="39"/>
    <w:rsid w:val="008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186</Words>
  <Characters>1066</Characters>
  <Application>Microsoft Office Word</Application>
  <DocSecurity>0</DocSecurity>
  <Lines>8</Lines>
  <Paragraphs>2</Paragraphs>
  <ScaleCrop>false</ScaleCrop>
  <Company>HP</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x'y'j</dc:creator>
  <cp:keywords/>
  <dc:description/>
  <cp:lastModifiedBy>Windows 用户</cp:lastModifiedBy>
  <cp:revision>25</cp:revision>
  <dcterms:created xsi:type="dcterms:W3CDTF">2022-04-25T08:28:00Z</dcterms:created>
  <dcterms:modified xsi:type="dcterms:W3CDTF">2022-05-30T02:00:00Z</dcterms:modified>
</cp:coreProperties>
</file>